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numPr>
          <w:ilvl w:val="0"/>
          <w:numId w:val="0"/>
        </w:numPr>
        <w:suppressAutoHyphens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jc w:val="center"/>
        <w:textAlignment w:val="auto"/>
        <w:rPr>
          <w:rFonts w:hint="eastAsia" w:ascii="Times New Roman" w:hAnsi="Times New Roman" w:eastAsia="方正小标宋简体" w:cs="方正小标宋简体"/>
          <w:sz w:val="44"/>
          <w:szCs w:val="44"/>
          <w:lang w:val="en-US" w:eastAsia="zh-CN"/>
        </w:rPr>
      </w:pPr>
      <w:r>
        <w:rPr>
          <w:sz w:val="4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-8255</wp:posOffset>
                </wp:positionH>
                <wp:positionV relativeFrom="paragraph">
                  <wp:posOffset>-871220</wp:posOffset>
                </wp:positionV>
                <wp:extent cx="752475" cy="438150"/>
                <wp:effectExtent l="0" t="0" r="0" b="0"/>
                <wp:wrapNone/>
                <wp:docPr id="2" name="文本框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2475" cy="438150"/>
                        </a:xfrm>
                        <a:prstGeom prst="rect">
                          <a:avLst/>
                        </a:prstGeom>
                        <a:noFill/>
                        <a:ln w="15875"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rPr>
                                <w:rFonts w:hint="eastAsia" w:ascii="黑体" w:hAnsi="黑体" w:eastAsia="黑体" w:cs="黑体"/>
                                <w:sz w:val="32"/>
                                <w:szCs w:val="32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 w:ascii="黑体" w:hAnsi="黑体" w:eastAsia="黑体" w:cs="黑体"/>
                                <w:sz w:val="32"/>
                                <w:szCs w:val="32"/>
                                <w:lang w:val="en-US" w:eastAsia="zh-CN"/>
                              </w:rPr>
                              <w:t>附件1</w:t>
                            </w:r>
                          </w:p>
                        </w:txbxContent>
                      </wps:txbx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-0.65pt;margin-top:-68.6pt;height:34.5pt;width:59.25pt;z-index:251659264;mso-width-relative:page;mso-height-relative:page;" filled="f" stroked="f" coordsize="21600,21600" o:gfxdata="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">
                <v:fill on="f" focussize="0,0"/>
                <v:stroke on="f" weight="1.25pt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rFonts w:hint="eastAsia" w:ascii="黑体" w:hAnsi="黑体" w:eastAsia="黑体" w:cs="黑体"/>
                          <w:sz w:val="32"/>
                          <w:szCs w:val="32"/>
                          <w:lang w:val="en-US" w:eastAsia="zh-CN"/>
                        </w:rPr>
                      </w:pPr>
                      <w:r>
                        <w:rPr>
                          <w:rFonts w:hint="eastAsia" w:ascii="黑体" w:hAnsi="黑体" w:eastAsia="黑体" w:cs="黑体"/>
                          <w:sz w:val="32"/>
                          <w:szCs w:val="32"/>
                          <w:lang w:val="en-US" w:eastAsia="zh-CN"/>
                        </w:rPr>
                        <w:t>附件1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="Times New Roman" w:hAnsi="Times New Roman" w:eastAsia="方正小标宋简体" w:cs="方正小标宋简体"/>
          <w:sz w:val="44"/>
          <w:szCs w:val="44"/>
          <w:lang w:val="en-US" w:eastAsia="zh-CN"/>
        </w:rPr>
        <w:t>领导干部包保（包联）煤矿安全生产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suppressAutoHyphens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jc w:val="center"/>
        <w:textAlignment w:val="auto"/>
        <w:rPr>
          <w:rFonts w:hint="eastAsia" w:ascii="Times New Roman" w:hAnsi="Times New Roman" w:eastAsia="方正小标宋简体" w:cs="方正小标宋简体"/>
          <w:sz w:val="44"/>
          <w:szCs w:val="44"/>
          <w:lang w:val="en-US" w:eastAsia="zh-CN"/>
        </w:rPr>
      </w:pPr>
      <w:r>
        <w:rPr>
          <w:rFonts w:hint="eastAsia" w:ascii="Times New Roman" w:hAnsi="Times New Roman" w:eastAsia="方正小标宋简体" w:cs="方正小标宋简体"/>
          <w:sz w:val="44"/>
          <w:szCs w:val="44"/>
          <w:lang w:val="en-US" w:eastAsia="zh-CN"/>
        </w:rPr>
        <w:t>工作重点内容检查表</w:t>
      </w:r>
    </w:p>
    <w:tbl>
      <w:tblPr>
        <w:tblStyle w:val="3"/>
        <w:tblW w:w="9299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37"/>
        <w:gridCol w:w="1387"/>
        <w:gridCol w:w="3130"/>
        <w:gridCol w:w="1800"/>
        <w:gridCol w:w="214"/>
        <w:gridCol w:w="183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1" w:hRule="atLeast"/>
        </w:trPr>
        <w:tc>
          <w:tcPr>
            <w:tcW w:w="2324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="仿宋_GB2312"/>
                <w:sz w:val="32"/>
                <w:szCs w:val="32"/>
                <w:vertAlign w:val="baseline"/>
                <w:lang w:val="en-US" w:eastAsia="zh-CN"/>
              </w:rPr>
              <w:t>煤矿名称</w:t>
            </w:r>
          </w:p>
        </w:tc>
        <w:tc>
          <w:tcPr>
            <w:tcW w:w="6975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1" w:hRule="atLeast"/>
        </w:trPr>
        <w:tc>
          <w:tcPr>
            <w:tcW w:w="2324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="仿宋_GB2312"/>
                <w:sz w:val="32"/>
                <w:szCs w:val="32"/>
                <w:vertAlign w:val="baseline"/>
                <w:lang w:val="en-US" w:eastAsia="zh-CN"/>
              </w:rPr>
              <w:t xml:space="preserve">检查时间    </w:t>
            </w:r>
          </w:p>
        </w:tc>
        <w:tc>
          <w:tcPr>
            <w:tcW w:w="313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="仿宋_GB2312"/>
                <w:sz w:val="32"/>
                <w:szCs w:val="32"/>
                <w:vertAlign w:val="baseline"/>
                <w:lang w:val="en-US" w:eastAsia="zh-CN"/>
              </w:rPr>
              <w:t xml:space="preserve">     年  月  日</w:t>
            </w:r>
          </w:p>
        </w:tc>
        <w:tc>
          <w:tcPr>
            <w:tcW w:w="180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="仿宋_GB2312"/>
                <w:sz w:val="32"/>
                <w:szCs w:val="32"/>
                <w:vertAlign w:val="baseline"/>
                <w:lang w:val="en-US" w:eastAsia="zh-CN"/>
              </w:rPr>
              <w:t>带队领导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楷体_GB2312" w:cs="楷体_GB2312"/>
                <w:sz w:val="28"/>
                <w:szCs w:val="28"/>
                <w:vertAlign w:val="baseline"/>
                <w:lang w:val="en-US" w:eastAsia="zh-CN"/>
              </w:rPr>
              <w:t>（签字）</w:t>
            </w:r>
          </w:p>
        </w:tc>
        <w:tc>
          <w:tcPr>
            <w:tcW w:w="2045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1" w:hRule="atLeast"/>
        </w:trPr>
        <w:tc>
          <w:tcPr>
            <w:tcW w:w="2324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="仿宋_GB2312"/>
                <w:sz w:val="32"/>
                <w:szCs w:val="32"/>
                <w:vertAlign w:val="baseline"/>
                <w:lang w:val="en-US" w:eastAsia="zh-CN"/>
              </w:rPr>
              <w:t>随行人员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楷体_GB2312" w:cs="楷体_GB2312"/>
                <w:sz w:val="28"/>
                <w:szCs w:val="28"/>
                <w:vertAlign w:val="baseline"/>
                <w:lang w:val="en-US" w:eastAsia="zh-CN"/>
              </w:rPr>
              <w:t>（签字）</w:t>
            </w:r>
          </w:p>
        </w:tc>
        <w:tc>
          <w:tcPr>
            <w:tcW w:w="6975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9299" w:type="dxa"/>
            <w:gridSpan w:val="6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黑体" w:cs="黑体"/>
                <w:sz w:val="32"/>
                <w:szCs w:val="32"/>
                <w:vertAlign w:val="baseline"/>
                <w:lang w:val="en-US" w:eastAsia="zh-CN"/>
              </w:rPr>
              <w:t>检查情况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93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Times New Roman" w:hAnsi="Times New Roman" w:eastAsia="黑体" w:cs="黑体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黑体" w:cs="黑体"/>
                <w:sz w:val="32"/>
                <w:szCs w:val="32"/>
                <w:vertAlign w:val="baseline"/>
                <w:lang w:val="en-US" w:eastAsia="zh-CN"/>
              </w:rPr>
              <w:t>序号</w:t>
            </w:r>
          </w:p>
        </w:tc>
        <w:tc>
          <w:tcPr>
            <w:tcW w:w="6531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Times New Roman" w:hAnsi="Times New Roman" w:eastAsia="黑体" w:cs="黑体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黑体" w:cs="黑体"/>
                <w:sz w:val="32"/>
                <w:szCs w:val="32"/>
                <w:vertAlign w:val="baseline"/>
                <w:lang w:val="en-US" w:eastAsia="zh-CN"/>
              </w:rPr>
              <w:t>检查内容</w:t>
            </w:r>
          </w:p>
        </w:tc>
        <w:tc>
          <w:tcPr>
            <w:tcW w:w="18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Times New Roman" w:hAnsi="Times New Roman" w:eastAsia="黑体" w:cs="黑体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黑体" w:cs="黑体"/>
                <w:sz w:val="32"/>
                <w:szCs w:val="32"/>
                <w:vertAlign w:val="baseline"/>
                <w:lang w:val="en-US" w:eastAsia="zh-CN"/>
              </w:rPr>
              <w:t>检查结果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2" w:hRule="atLeast"/>
        </w:trPr>
        <w:tc>
          <w:tcPr>
            <w:tcW w:w="93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="仿宋_GB2312"/>
                <w:sz w:val="32"/>
                <w:szCs w:val="32"/>
                <w:vertAlign w:val="baseline"/>
                <w:lang w:val="en-US" w:eastAsia="zh-CN"/>
              </w:rPr>
              <w:t>1</w:t>
            </w:r>
          </w:p>
        </w:tc>
        <w:tc>
          <w:tcPr>
            <w:tcW w:w="6531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auto"/>
              <w:rPr>
                <w:rFonts w:hint="eastAsia" w:ascii="Times New Roman" w:hAnsi="Times New Roman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="仿宋_GB2312"/>
                <w:sz w:val="32"/>
                <w:szCs w:val="32"/>
                <w:lang w:val="en-US" w:eastAsia="zh-CN"/>
              </w:rPr>
              <w:t>井工煤矿入井人员和井下作业场所的数量，露天煤矿入坑人员和采剥设备、运输车辆数量。</w:t>
            </w:r>
          </w:p>
        </w:tc>
        <w:tc>
          <w:tcPr>
            <w:tcW w:w="18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1" w:hRule="atLeast"/>
        </w:trPr>
        <w:tc>
          <w:tcPr>
            <w:tcW w:w="93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="仿宋_GB2312"/>
                <w:sz w:val="32"/>
                <w:szCs w:val="32"/>
                <w:vertAlign w:val="baseline"/>
                <w:lang w:val="en-US" w:eastAsia="zh-CN"/>
              </w:rPr>
              <w:t>2</w:t>
            </w:r>
          </w:p>
        </w:tc>
        <w:tc>
          <w:tcPr>
            <w:tcW w:w="6531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auto"/>
              <w:rPr>
                <w:rFonts w:hint="eastAsia" w:ascii="Times New Roman" w:hAnsi="Times New Roman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="仿宋_GB2312"/>
                <w:sz w:val="32"/>
                <w:szCs w:val="32"/>
                <w:lang w:val="en-US" w:eastAsia="zh-CN"/>
              </w:rPr>
              <w:t>煤矿民爆物品使用量、用电量、采掘（采剥）工作面产量、进尺（剥离）及销售量。</w:t>
            </w:r>
          </w:p>
        </w:tc>
        <w:tc>
          <w:tcPr>
            <w:tcW w:w="18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64" w:hRule="atLeast"/>
        </w:trPr>
        <w:tc>
          <w:tcPr>
            <w:tcW w:w="93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="仿宋_GB2312"/>
                <w:sz w:val="32"/>
                <w:szCs w:val="32"/>
                <w:vertAlign w:val="baseline"/>
                <w:lang w:val="en-US" w:eastAsia="zh-CN"/>
              </w:rPr>
              <w:t>3</w:t>
            </w:r>
          </w:p>
        </w:tc>
        <w:tc>
          <w:tcPr>
            <w:tcW w:w="6531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auto"/>
              <w:rPr>
                <w:rFonts w:hint="eastAsia" w:ascii="Times New Roman" w:hAnsi="Times New Roman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="仿宋_GB2312"/>
                <w:sz w:val="32"/>
                <w:szCs w:val="32"/>
                <w:lang w:val="en-US" w:eastAsia="zh-CN"/>
              </w:rPr>
              <w:t>井工煤矿各主井口、副井口、风井口、堆煤厂，露天煤矿出入坑道路、出入排土场道路、采剥作业地点、采场边坡和排土场边坡，监控视频系统是否正常运行并上传至属地日常煤矿安全监管部门。</w:t>
            </w:r>
          </w:p>
        </w:tc>
        <w:tc>
          <w:tcPr>
            <w:tcW w:w="18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1" w:hRule="atLeast"/>
        </w:trPr>
        <w:tc>
          <w:tcPr>
            <w:tcW w:w="93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="仿宋_GB2312"/>
                <w:sz w:val="32"/>
                <w:szCs w:val="32"/>
                <w:vertAlign w:val="baseline"/>
                <w:lang w:val="en-US" w:eastAsia="zh-CN"/>
              </w:rPr>
              <w:t>4</w:t>
            </w:r>
          </w:p>
        </w:tc>
        <w:tc>
          <w:tcPr>
            <w:tcW w:w="6531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auto"/>
              <w:rPr>
                <w:rFonts w:hint="eastAsia" w:ascii="Times New Roman" w:hAnsi="Times New Roman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="仿宋_GB2312"/>
                <w:sz w:val="32"/>
                <w:szCs w:val="32"/>
                <w:vertAlign w:val="baseline"/>
                <w:lang w:val="en-US" w:eastAsia="zh-CN"/>
              </w:rPr>
              <w:t>煤矿企业领导是否存在不带班、不按规定交接班，值班领导是否在岗。</w:t>
            </w:r>
          </w:p>
        </w:tc>
        <w:tc>
          <w:tcPr>
            <w:tcW w:w="18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1" w:hRule="atLeast"/>
        </w:trPr>
        <w:tc>
          <w:tcPr>
            <w:tcW w:w="93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="仿宋_GB2312"/>
                <w:sz w:val="32"/>
                <w:szCs w:val="32"/>
                <w:vertAlign w:val="baseline"/>
                <w:lang w:val="en-US" w:eastAsia="zh-CN"/>
              </w:rPr>
              <w:t>5</w:t>
            </w:r>
          </w:p>
        </w:tc>
        <w:tc>
          <w:tcPr>
            <w:tcW w:w="6531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auto"/>
              <w:rPr>
                <w:rFonts w:hint="eastAsia" w:ascii="Times New Roman" w:hAnsi="Times New Roman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="仿宋_GB2312"/>
                <w:sz w:val="32"/>
                <w:szCs w:val="32"/>
                <w:vertAlign w:val="baseline"/>
                <w:lang w:val="en-US" w:eastAsia="zh-CN"/>
              </w:rPr>
              <w:t>入井（入坑）人员登记表、矿灯发放记录、人员位置监测系统数据是否一致。</w:t>
            </w:r>
          </w:p>
        </w:tc>
        <w:tc>
          <w:tcPr>
            <w:tcW w:w="18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2" w:hRule="atLeast"/>
        </w:trPr>
        <w:tc>
          <w:tcPr>
            <w:tcW w:w="93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="仿宋_GB2312"/>
                <w:sz w:val="32"/>
                <w:szCs w:val="32"/>
                <w:vertAlign w:val="baseline"/>
                <w:lang w:val="en-US" w:eastAsia="zh-CN"/>
              </w:rPr>
              <w:t>6</w:t>
            </w:r>
          </w:p>
        </w:tc>
        <w:tc>
          <w:tcPr>
            <w:tcW w:w="6531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auto"/>
              <w:rPr>
                <w:rFonts w:hint="eastAsia" w:ascii="Times New Roman" w:hAnsi="Times New Roman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="仿宋_GB2312"/>
                <w:sz w:val="32"/>
                <w:szCs w:val="32"/>
                <w:vertAlign w:val="baseline"/>
                <w:lang w:val="en-US" w:eastAsia="zh-CN"/>
              </w:rPr>
              <w:t>检查煤矿调度室，安全监控系统是否正常运行并上传数据至</w:t>
            </w:r>
            <w:r>
              <w:rPr>
                <w:rFonts w:hint="eastAsia" w:ascii="Times New Roman" w:hAnsi="Times New Roman" w:eastAsia="仿宋_GB2312" w:cs="仿宋_GB2312"/>
                <w:sz w:val="32"/>
                <w:szCs w:val="32"/>
                <w:lang w:val="en-US" w:eastAsia="zh-CN"/>
              </w:rPr>
              <w:t>属地日常煤矿安全监管部门。</w:t>
            </w:r>
          </w:p>
        </w:tc>
        <w:tc>
          <w:tcPr>
            <w:tcW w:w="18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9299" w:type="dxa"/>
            <w:gridSpan w:val="6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黑体" w:cs="黑体"/>
                <w:sz w:val="32"/>
                <w:szCs w:val="32"/>
                <w:vertAlign w:val="baseline"/>
                <w:lang w:val="en-US" w:eastAsia="zh-CN"/>
              </w:rPr>
              <w:t>其他需要说明情况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4" w:hRule="atLeast"/>
        </w:trPr>
        <w:tc>
          <w:tcPr>
            <w:tcW w:w="9299" w:type="dxa"/>
            <w:gridSpan w:val="6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</w:p>
        </w:tc>
      </w:tr>
    </w:tbl>
    <w:p>
      <w:pPr>
        <w:keepNext w:val="0"/>
        <w:keepLines w:val="0"/>
        <w:pageBreakBefore w:val="0"/>
        <w:widowControl w:val="0"/>
        <w:numPr>
          <w:ilvl w:val="0"/>
          <w:numId w:val="0"/>
        </w:numPr>
        <w:suppressAutoHyphens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jc w:val="left"/>
        <w:textAlignment w:val="auto"/>
      </w:pPr>
      <w:bookmarkStart w:id="0" w:name="_GoBack"/>
      <w:bookmarkEnd w:id="0"/>
    </w:p>
    <w:sectPr>
      <w:pgSz w:w="11906" w:h="16838"/>
      <w:pgMar w:top="2098" w:right="1474" w:bottom="1984" w:left="158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TAyNjRmNDg0YWM3NTY4ZmNhYTI3NmVhYWQ2NDdmMDEifQ=="/>
  </w:docVars>
  <w:rsids>
    <w:rsidRoot w:val="348251C2"/>
    <w:rsid w:val="348251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rPr>
      <w:lang w:val="en-US" w:eastAsia="zh-CN" w:bidi="ar-SA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Office_12.1.0.15374_F1E327BC-269C-435d-A152-05C5408002CA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2023-09-01T02:53:00Z</dcterms:created>
  <dc:creator>13171037240</dc:creator>
  <cp:lastModifiedBy>13171037240</cp:lastModifiedBy>
  <dcterms:modified xsi:type="dcterms:W3CDTF">2023-09-01T02:58:45Z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2052-12.1.0.15374</vt:lpwstr>
  </property>
  <property fmtid="{D5CDD505-2E9C-101B-9397-08002B2CF9AE}" pid="3" name="ICV">
    <vt:lpwstr>85B10753076342DA9E936C22A6F6D0C1_11</vt:lpwstr>
  </property>
</Properties>
</file>